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b/>
          <w:b/>
          <w:bCs/>
          <w:highlight w:val="white"/>
        </w:rPr>
      </w:pPr>
      <w:r>
        <w:rPr>
          <w:b/>
          <w:bCs/>
          <w:shd w:fill="FFFFFF" w:val="clear"/>
        </w:rPr>
        <w:t>Порядок периодического подтверждения лицензиатом соответствия лицензионным требованиям!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2">
        <w:r>
          <w:rPr>
            <w:rStyle w:val="Style13"/>
            <w:rFonts w:cs="Times New Roman" w:ascii="Times New Roman" w:hAnsi="Times New Roman"/>
            <w:b/>
            <w:bCs/>
            <w:color w:val="auto"/>
            <w:sz w:val="24"/>
            <w:szCs w:val="24"/>
            <w:highlight w:val="white"/>
          </w:rPr>
          <w:t>Федеральный закон от 04.05.2011 № 99-ФЗ «О лицензировании отдельных видов деятельности</w:t>
        </w:r>
      </w:hyperlink>
      <w:r>
        <w:rPr>
          <w:rStyle w:val="Style13"/>
          <w:rFonts w:cs="Times New Roman" w:ascii="Times New Roman" w:hAnsi="Times New Roman"/>
          <w:b/>
          <w:bCs/>
          <w:color w:val="auto"/>
          <w:sz w:val="24"/>
          <w:szCs w:val="24"/>
          <w:highlight w:val="white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Статья 19.3. Периодическое подтверждение соответствия лицензиата лицензионным требованиям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/>
      </w:pPr>
      <w:r>
        <w:rPr/>
        <w:t>1. Периодическое подтверждение соответствия лицензионным требованиям проводится в отношении лицензиатов, осуществляющих лицензируемые виды деятельности, предусмотренные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"dst22"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пунктами 14</w:t>
      </w:r>
      <w:r>
        <w:rPr>
          <w:rStyle w:val="Style13"/>
        </w:rPr>
        <w:fldChar w:fldCharType="end"/>
      </w:r>
      <w:r>
        <w:rPr/>
        <w:t> -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"dst100116"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16</w:t>
      </w:r>
      <w:r>
        <w:rPr>
          <w:rStyle w:val="Style13"/>
        </w:rPr>
        <w:fldChar w:fldCharType="end"/>
      </w:r>
      <w:r>
        <w:rPr/>
        <w:t>,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"dst100119"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19</w:t>
      </w:r>
      <w:r>
        <w:rPr>
          <w:rStyle w:val="Style13"/>
        </w:rPr>
        <w:fldChar w:fldCharType="end"/>
      </w:r>
      <w:r>
        <w:rPr/>
        <w:t>,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"dst100139"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39</w:t>
      </w:r>
      <w:r>
        <w:rPr>
          <w:rStyle w:val="Style13"/>
        </w:rPr>
        <w:fldChar w:fldCharType="end"/>
      </w:r>
      <w:r>
        <w:rPr/>
        <w:t>,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"dst183"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42</w:t>
      </w:r>
      <w:r>
        <w:rPr>
          <w:rStyle w:val="Style13"/>
        </w:rPr>
        <w:fldChar w:fldCharType="end"/>
      </w:r>
      <w:r>
        <w:rPr/>
        <w:t> и </w:t>
      </w:r>
      <w:r>
        <w:fldChar w:fldCharType="begin"/>
      </w:r>
      <w:r>
        <w:rPr>
          <w:rStyle w:val="Style13"/>
        </w:rPr>
        <w:instrText> HYPERLINK "http://www.consultant.ru/document/cons_doc_LAW_394145/6a4a5b5468ba8b99831699f7d048d2a5d7710610/" \l "dst100148"</w:instrText>
      </w:r>
      <w:r>
        <w:rPr>
          <w:rStyle w:val="Style13"/>
        </w:rPr>
        <w:fldChar w:fldCharType="separate"/>
      </w:r>
      <w:r>
        <w:rPr>
          <w:rStyle w:val="Style13"/>
          <w:color w:val="auto"/>
        </w:rPr>
        <w:t>48 части 1 статьи 12</w:t>
      </w:r>
      <w:r>
        <w:rPr>
          <w:rStyle w:val="Style13"/>
        </w:rPr>
        <w:fldChar w:fldCharType="end"/>
      </w:r>
      <w:r>
        <w:rPr/>
        <w:t> настоящего Федерального закона.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/>
      </w:pPr>
      <w:r>
        <w:rPr/>
        <w:t>2. Периодическое подтверждение соответствия лицензиата лицензионным требованиям проводится каждые три года со дня предоставления лицензии, если больший период не предусмотрен положением о лицензировании конкретного вида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Федеральный закон от 21.12.1994 № 69-ФЗ «О пожарной безопасности»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Статья 24.3. Дополнительные условия осуществления лицензионной деятельности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/>
      </w:pPr>
      <w:r>
        <w:rPr>
          <w:shd w:fill="FFFFFF" w:val="clear"/>
        </w:rPr>
        <w:t>Лицензиат подтверждает соблюдение лицензионных требований путем представления в лицензирующий орган информации в порядке, предусмотренном Федеральным </w:t>
      </w:r>
      <w:hyperlink r:id="rId3">
        <w:r>
          <w:rPr>
            <w:rStyle w:val="Style13"/>
            <w:color w:val="auto"/>
            <w:highlight w:val="white"/>
            <w:u w:val="none"/>
          </w:rPr>
          <w:t>законом</w:t>
        </w:r>
      </w:hyperlink>
      <w:r>
        <w:rPr>
          <w:shd w:fill="FFFFFF" w:val="clear"/>
        </w:rPr>
        <w:t> от 4 мая 2011 года № 99-ФЗ «О лицензировании отдельных видов деятельности», каждые три года со дня предоставления лицензии.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Федеральный закон от 11.06.2021 № 168-ФЗ «О внесении изменений в Федеральный закон  «О пожарной безопасности» и статьи 1 и 22 Федерального закона «О лицензировании отдельных видов деятельности»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Статья 3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Установить, что положения статьи 24.3 Федерального закона от 21 декабря 1994 года № 69-ФЗ           «О пожарной безопасности» применяются в отношении лицензиатов, осуществляющих деятельность по тушению пожаров в населенных пунктах, на производственных объектах и объектах инфраструктуры и (или) деятельность по монтажу, техническому обслуживанию и ремонту средств обеспечения пожарной безопасности зданий и сооружений, с учетом следующих особенностей: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лицензиаты, которым лицензии предоставлены до 1 января 2012 года, должны представить в лицензирующий орган информацию, предусмотренную частью </w:t>
      </w:r>
      <w:r>
        <w:rPr>
          <w:rFonts w:cs="Times New Roman" w:ascii="Times New Roman" w:hAnsi="Times New Roman"/>
          <w:sz w:val="24"/>
          <w:szCs w:val="24"/>
        </w:rPr>
        <w:t>четвёртой</w:t>
      </w:r>
      <w:r>
        <w:rPr>
          <w:rFonts w:cs="Times New Roman" w:ascii="Times New Roman" w:hAnsi="Times New Roman"/>
          <w:sz w:val="24"/>
          <w:szCs w:val="24"/>
        </w:rPr>
        <w:t xml:space="preserve"> статьи 24.3 Федерального закона от 21 декабря 1994 года № 69-ФЗ «О пожарной безопасности», в течение первого года со дня вступления в силу настоящего Федерального закона;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2) лицензиаты, которым лицензии предоставлены в период с 1 января 2012 года по 31 декабря 2015 года включительно, должны представить в лицензирующий орган информацию, предусмотренную частью </w:t>
      </w:r>
      <w:r>
        <w:rPr>
          <w:rFonts w:cs="Times New Roman" w:ascii="Times New Roman" w:hAnsi="Times New Roman"/>
          <w:sz w:val="24"/>
          <w:szCs w:val="24"/>
        </w:rPr>
        <w:t>четвёртой</w:t>
      </w:r>
      <w:r>
        <w:rPr>
          <w:rFonts w:cs="Times New Roman" w:ascii="Times New Roman" w:hAnsi="Times New Roman"/>
          <w:sz w:val="24"/>
          <w:szCs w:val="24"/>
        </w:rPr>
        <w:t xml:space="preserve"> статьи 24.3 Федераль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ного закона от 21 декабря 1994 года № 69-ФЗ «О пожарной безопасности», в течение второго года со дня вступления в силу настоящего Федерального закона;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3) лицензиаты, которым лицензии предоставлены начиная с 1 января 2016 года, должны представить в лицензирующий орган информацию, предусмотренную частью </w:t>
      </w:r>
      <w:r>
        <w:rPr>
          <w:rFonts w:cs="Times New Roman" w:ascii="Times New Roman" w:hAnsi="Times New Roman"/>
          <w:sz w:val="24"/>
          <w:szCs w:val="24"/>
        </w:rPr>
        <w:t>четвёртой</w:t>
      </w:r>
      <w:r>
        <w:rPr>
          <w:rFonts w:cs="Times New Roman" w:ascii="Times New Roman" w:hAnsi="Times New Roman"/>
          <w:sz w:val="24"/>
          <w:szCs w:val="24"/>
        </w:rPr>
        <w:t xml:space="preserve"> статьи 24.3 Федерального закона от 21 декабря 1994 года № 69-ФЗ «О пожарной безопасности", в течение третьего года со дня вступления в силу настоящего Федерального закона в случае, если в течение этого года или ранее истекло три года и более с даты выдачи лицензии.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1083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2"/>
        <w:gridCol w:w="8280"/>
      </w:tblGrid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 подтверждения</w:t>
            </w:r>
          </w:p>
        </w:tc>
        <w:tc>
          <w:tcPr>
            <w:tcW w:w="8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Год предоставления лицензии </w:t>
            </w:r>
          </w:p>
        </w:tc>
      </w:tr>
      <w:tr>
        <w:trPr/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09.12.2023-09.12.2024</w:t>
            </w:r>
          </w:p>
        </w:tc>
        <w:tc>
          <w:tcPr>
            <w:tcW w:w="8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01.01.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2016, 2017, 2018, 2019, до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09.12.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2020 года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Примечание:</w:t>
      </w:r>
    </w:p>
    <w:p>
      <w:pPr>
        <w:pStyle w:val="Normal"/>
        <w:spacing w:lineRule="auto" w:line="240" w:before="0" w:after="0"/>
        <w:ind w:firstLine="708"/>
        <w:jc w:val="both"/>
        <w:rPr>
          <w:i/>
          <w:i/>
          <w:iCs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- В соответствии с пунктом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3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постановления Правительства РФ от 12.03.2022 № 353 (ред. от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12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.0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.202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) «Об особенностях разрешительной деятельности в Российской Федерации в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2022 году»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 установлено, что срок, до которого должно быть пройдено периодическое подтверждение соответствия (первичное подтверждение соответствия) лицензионным требованиям лицензиатов, осуществляющих лицензируемые виды деятельности по перечню согласно приложению № 2, переносится на 12 месяцев в случае наступления указанного срока в 2022 году.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i/>
          <w:i/>
          <w:iCs/>
          <w:color w:val="auto"/>
          <w:kern w:val="0"/>
          <w:lang w:val="ru-RU" w:eastAsia="en-US" w:bidi="ar-SA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i/>
          <w:i/>
          <w:iCs/>
          <w:color w:val="auto"/>
          <w:kern w:val="0"/>
          <w:lang w:val="ru-RU" w:eastAsia="en-US" w:bidi="ar-SA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i/>
          <w:i/>
          <w:iCs/>
          <w:color w:val="auto"/>
          <w:kern w:val="0"/>
          <w:lang w:val="ru-RU" w:eastAsia="en-US" w:bidi="ar-SA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- В соответствии с пунктом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10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приложения №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 постановления Правительства РФ от 12.03.2022 № 353 (ред. от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.0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.202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) «Об особенностях разрешительной деятельности в Российской Федерации в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2022 и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2023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 годах» установлено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, что периодическое подтверждение соответствия лицензионным требованиям лицензиатов, осуществляющих деятельность по тушению пожаров в населенных пунктах, на производственных объектах и объектах инфраструктуры,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 (в том числе срок прохождения которого был 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>перенесён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6"/>
          <w:szCs w:val="26"/>
          <w:lang w:val="ru-RU" w:eastAsia="en-US" w:bidi="ar-SA"/>
        </w:rPr>
        <w:t xml:space="preserve"> в соответствии с пунктом 3 постановления Правительства Российской Федерации от 12 марта 2022 г. № 353 «Об особенностях разрешительной деятельности в Российской Федерации в 2022 и 2023 годах» на 2023 год), считается пройденным в случае наступления срока, до которого должно быть пройдено такое периодическое подтверждение соответствия лицензионным требованиям, в 2023 году.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i/>
          <w:i/>
          <w:i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i/>
          <w:iCs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</w:r>
    </w:p>
    <w:sectPr>
      <w:type w:val="nextPage"/>
      <w:pgSz w:w="11906" w:h="16838"/>
      <w:pgMar w:left="567" w:right="424" w:header="0" w:top="42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b208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c25915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b208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259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727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113658/" TargetMode="External"/><Relationship Id="rId3" Type="http://schemas.openxmlformats.org/officeDocument/2006/relationships/hyperlink" Target="http://www.consultant.ru/document/cons_doc_LAW_394145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LibreOffice/6.3.5.2$Linux_X86_64 LibreOffice_project/30$Build-2</Application>
  <Pages>2</Pages>
  <Words>588</Words>
  <Characters>4013</Characters>
  <CharactersWithSpaces>4595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2022-03-02T19:21:00Z</dcterms:created>
  <dc:creator>NV</dc:creator>
  <dc:description/>
  <dc:language>ru-RU</dc:language>
  <cp:lastModifiedBy/>
  <cp:lastPrinted>2023-02-14T17:51:41Z</cp:lastPrinted>
  <dcterms:modified xsi:type="dcterms:W3CDTF">2023-02-14T17:55:15Z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