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6136640</wp:posOffset>
                </wp:positionH>
                <wp:positionV relativeFrom="paragraph">
                  <wp:posOffset>13970</wp:posOffset>
                </wp:positionV>
                <wp:extent cx="2915285" cy="129603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560" cy="129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false"/>
                              <w:overflowPunct w:val="false"/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rFonts w:asciiTheme="minorHAnsi" w:cstheme="minorBidi" w:eastAsiaTheme="minorHAnsi" w:hAnsiTheme="minorHAnsi" w:ascii="Times New Roman" w:hAnsi="Times New Roman" w:eastAsia="Tahoma" w:cs="Noto Sans Devanagari"/>
                                <w:lang w:val="ru-RU" w:eastAsia="zh-CN" w:bidi="hi-IN"/>
                              </w:rPr>
                              <w:t>Приложение № 2</w:t>
                            </w:r>
                          </w:p>
                          <w:p>
                            <w:pPr>
                              <w:kinsoku w:val="false"/>
                              <w:overflowPunct w:val="false"/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rFonts w:asciiTheme="minorHAnsi" w:cstheme="minorBidi" w:eastAsiaTheme="minorHAnsi" w:hAnsiTheme="minorHAnsi" w:ascii="Times New Roman" w:hAnsi="Times New Roman" w:eastAsia="Tahoma" w:cs="Noto Sans Devanagari"/>
                                <w:lang w:val="ru-RU" w:eastAsia="zh-CN" w:bidi="hi-IN"/>
                              </w:rPr>
                              <w:t>к Программе профилактики рисков причинения вреда (ущерба) охраняемым законом ценностям по федеральному государственному контролю (надзору)</w:t>
                            </w:r>
                          </w:p>
                          <w:p>
                            <w:pPr>
                              <w:kinsoku w:val="false"/>
                              <w:overflowPunct w:val="false"/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rFonts w:asciiTheme="minorHAnsi" w:cstheme="minorBidi" w:eastAsiaTheme="minorHAnsi" w:hAnsiTheme="minorHAnsi" w:ascii="Times New Roman" w:hAnsi="Times New Roman" w:eastAsia="Tahoma" w:cs="Noto Sans Devanagari"/>
                                <w:lang w:val="ru-RU" w:eastAsia="zh-CN" w:bidi="hi-IN"/>
                              </w:rPr>
                              <w:t>за безопасностью людей на водных объектах на 2024 год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83.2pt;margin-top:1.1pt;width:229.45pt;height:101.95pt" type="shapetype_202">
                <v:textbox>
                  <w:txbxContent>
                    <w:p>
                      <w:pPr>
                        <w:kinsoku w:val="false"/>
                        <w:overflowPunct w:val="false"/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szCs w:val="24"/>
                          <w:bCs w:val="false"/>
                          <w:iCs w:val="false"/>
                          <w:em w:val="none"/>
                          <w:emboss w:val="false"/>
                          <w:imprint w:val="false"/>
                          <w:rFonts w:asciiTheme="minorHAnsi" w:cstheme="minorBidi" w:eastAsiaTheme="minorHAnsi" w:hAnsiTheme="minorHAnsi" w:ascii="Times New Roman" w:hAnsi="Times New Roman" w:eastAsia="Tahoma" w:cs="Noto Sans Devanagari"/>
                          <w:lang w:val="ru-RU" w:eastAsia="zh-CN" w:bidi="hi-IN"/>
                        </w:rPr>
                        <w:t>Приложение № 2</w:t>
                      </w:r>
                    </w:p>
                    <w:p>
                      <w:pPr>
                        <w:kinsoku w:val="false"/>
                        <w:overflowPunct w:val="false"/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szCs w:val="24"/>
                          <w:bCs w:val="false"/>
                          <w:iCs w:val="false"/>
                          <w:em w:val="none"/>
                          <w:emboss w:val="false"/>
                          <w:imprint w:val="false"/>
                          <w:rFonts w:asciiTheme="minorHAnsi" w:cstheme="minorBidi" w:eastAsiaTheme="minorHAnsi" w:hAnsiTheme="minorHAnsi" w:ascii="Times New Roman" w:hAnsi="Times New Roman" w:eastAsia="Tahoma" w:cs="Noto Sans Devanagari"/>
                          <w:lang w:val="ru-RU" w:eastAsia="zh-CN" w:bidi="hi-IN"/>
                        </w:rPr>
                        <w:t>к Программе профилактики рисков причинения вреда (ущерба) охраняемым законом ценностям по федеральному государственному контролю (надзору)</w:t>
                      </w:r>
                    </w:p>
                    <w:p>
                      <w:pPr>
                        <w:kinsoku w:val="false"/>
                        <w:overflowPunct w:val="false"/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szCs w:val="24"/>
                          <w:bCs w:val="false"/>
                          <w:iCs w:val="false"/>
                          <w:em w:val="none"/>
                          <w:emboss w:val="false"/>
                          <w:imprint w:val="false"/>
                          <w:rFonts w:asciiTheme="minorHAnsi" w:cstheme="minorBidi" w:eastAsiaTheme="minorHAnsi" w:hAnsiTheme="minorHAnsi" w:ascii="Times New Roman" w:hAnsi="Times New Roman" w:eastAsia="Tahoma" w:cs="Noto Sans Devanagari"/>
                          <w:lang w:val="ru-RU" w:eastAsia="zh-CN" w:bidi="hi-IN"/>
                        </w:rPr>
                        <w:t>за безопасностью людей на водных объектах на 2024 год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План проведения профилактических визитов</w:t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Главного управления МЧС России по Ханты - Мансийскому</w:t>
        <w:br/>
        <w:t>автономному округу - Югре на 2024 год</w:t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tbl>
      <w:tblPr>
        <w:tblW w:w="1428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2731"/>
        <w:gridCol w:w="2731"/>
        <w:gridCol w:w="2732"/>
        <w:gridCol w:w="2731"/>
        <w:gridCol w:w="2732"/>
      </w:tblGrid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контролируемой организации или фамилия, имя, отчество (при наличии) контролируемого лица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 надзора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профилактического визита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профилактического визита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— Верлова Татьяна Владимировна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553900129488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пр.Норник 09-1,0 км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23.01.24</w:t>
            </w:r>
          </w:p>
        </w:tc>
        <w:tc>
          <w:tcPr>
            <w:tcW w:w="27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частью 2 статьи 57 Федерального закона от 31 июля 2020 г. № 248-ФЗ "О государственном контроле (надзоре) и муниципальном контроле в Российской Федерации" провести контрольное (надзорное) мероприятие без взаимодействия с контролируемым лицом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— Верлова Татьяна Владимировна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553900129488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пр.Малый салым 3,5-3,6км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«Речной порт Нефтеюганск»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8604029906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пр.Чебыковская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«Речной порт Нефтеюганск»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8604029906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пр.Малый салым 32 км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— Верлова Татьяна Владимировна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553900129488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пр.Малый салым 19.9-20,0км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«Ремонтно эксплуатационная база речного флота»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8607013196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пр.Малый салым 7км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 ХМАО-Югры «Управление автомобильных дорог»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8601009877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р.Обь- 1063,2 км. р.Обь-1092,1 км.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 ХМАО-Югры «Управление автомобильных дорог»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8601009877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р.Обь- 1153 км. пр.Ендырская 2,6 км.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 ХМАО-Югры «Управление автомобильных дорог»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8601009877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р.Обь- 1225,1 км. пр.Неулева 25,5 км. пр.Полой., пр.Северная., пр.Неулева 79,3 км.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 ХМАО-Югры «Управление автомобильных дорог»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8601009877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р.Иртыш 142,3 км., р.Иртыш 225,9 км.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«Западно-Сибирская строительная компания»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8619015462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Ханты-Мансийский автономный округ-Югра р-н Ханты-Мансийский р.Иртыш 146,7 км., 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 ХМАО-Югры «Управление автомобильных дорог»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8601009877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р.Конда 8,3 км.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«Луговской ЛПК»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8618006698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р.Иртыш 101 км.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«Западно-Сибирская строительная компания»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8619015462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р.Согом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 ХМАО-Югры «Управление автомобильных дорог»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8601009877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округ-Югра р-н Ханты-Мансийский пр.Байболаковская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«Нова»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6330037352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ХМАО-Югра, Нижневартовский район, р.Обь 1676 км.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«Нова»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6330037352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ХМАО-Югра, Нижневартовский район, пр.Мулка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«Нова»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6330037352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ХМАО-Югра, Нижневартовский район, пр.Кирьяс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КУ«Управление автомобильных дорог»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8601009877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 Югра, Берёзовский район, 0+590 км в районе пгт. Игрим, р. Малая Сосьва, ледовая переправа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КУ«Управление автомобильных дорог»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8601009877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 Югра, Берёзовский район, 84+637 км в районе п. Игрим, р. Северная Сосьва, ледовая переправа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КУ«Управление автомобильных дорог»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8601009877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округ- Югра, Берёзовский район, 0+241 км в районе п. Игрим, р. Северная Сосьва 153 км, ледовая переправа</w:t>
            </w:r>
          </w:p>
        </w:tc>
        <w:tc>
          <w:tcPr>
            <w:tcW w:w="2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18.01.24</w:t>
            </w:r>
          </w:p>
        </w:tc>
        <w:tc>
          <w:tcPr>
            <w:tcW w:w="27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184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bb0e3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7780-C91F-485F-8A39-178811B8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Application>LibreOffice/6.4.7.2$Linux_X86_64 LibreOffice_project/40$Build-2</Application>
  <Pages>4</Pages>
  <Words>419</Words>
  <Characters>3221</Characters>
  <CharactersWithSpaces>3530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2023-07-10T03:37:00Z</dcterms:created>
  <dc:creator>gpn111</dc:creator>
  <dc:description/>
  <dc:language>ru-RU</dc:language>
  <cp:lastModifiedBy/>
  <cp:lastPrinted>2023-07-20T09:25:00Z</cp:lastPrinted>
  <dcterms:modified xsi:type="dcterms:W3CDTF">2024-01-24T14:51:02Z</dcterms:modified>
  <cp:revision>268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